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6834" w:w="11909" w:orient="portrait"/>
          <w:pgMar w:bottom="1440" w:top="1440" w:left="1440" w:right="1440" w:header="720" w:footer="720"/>
          <w:pgNumType w:start="1"/>
        </w:sectPr>
      </w:pPr>
      <w:bookmarkStart w:colFirst="0" w:colLast="0" w:name="_3oiowm9z7v"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Notes d'exposition (WIP)</w:t>
      </w:r>
      <w:r w:rsidDel="00000000" w:rsidR="00000000" w:rsidRPr="00000000">
        <w:rPr>
          <w:rtl w:val="0"/>
        </w:rPr>
      </w:r>
    </w:p>
    <w:p w:rsidR="00000000" w:rsidDel="00000000" w:rsidP="00000000" w:rsidRDefault="00000000" w:rsidRPr="00000000" w14:paraId="00000002">
      <w:pPr>
        <w:pStyle w:val="Heading2"/>
        <w:keepNext w:val="0"/>
        <w:keepLines w:val="0"/>
        <w:widowControl w:val="0"/>
        <w:spacing w:after="240" w:before="225" w:line="240" w:lineRule="auto"/>
        <w:rPr>
          <w:b w:val="1"/>
          <w:bCs w:val="1"/>
          <w:sz w:val="36"/>
          <w:szCs w:val="36"/>
        </w:rPr>
      </w:pPr>
      <w:r w:rsidDel="00000000" w:rsidR="00000000" w:rsidRPr="00000000">
        <w:rPr>
          <w:b w:val="1"/>
          <w:bCs w:val="1"/>
          <w:sz w:val="36"/>
          <w:szCs w:val="36"/>
          <w:rtl w:val="0"/>
        </w:rPr>
        <w:t xml:space="preserve">Présentation du projet et démarche artistique</w:t>
      </w:r>
    </w:p>
    <w:p w:rsidR="00000000" w:rsidDel="00000000" w:rsidP="00000000" w:rsidRDefault="00000000" w:rsidRPr="00000000" w14:paraId="00000003">
      <w:pPr>
        <w:pStyle w:val="Heading3"/>
        <w:keepNext w:val="0"/>
        <w:keepLines w:val="0"/>
        <w:widowControl w:val="0"/>
        <w:spacing w:after="240" w:before="0" w:line="240" w:lineRule="auto"/>
        <w:rPr>
          <w:b w:val="1"/>
          <w:bCs w:val="1"/>
          <w:color w:val="000000"/>
        </w:rPr>
      </w:pPr>
      <w:r w:rsidDel="00000000" w:rsidR="00000000" w:rsidRPr="00000000">
        <w:rPr>
          <w:b w:val="1"/>
          <w:bCs w:val="1"/>
          <w:color w:val="000000"/>
          <w:rtl w:val="0"/>
        </w:rPr>
        <w:t xml:space="preserve">Note d'intention et contexte</w:t>
      </w:r>
    </w:p>
    <w:p w:rsidR="00000000" w:rsidDel="00000000" w:rsidP="00000000" w:rsidRDefault="00000000" w:rsidRPr="00000000" w14:paraId="00000004">
      <w:pPr>
        <w:widowControl w:val="0"/>
        <w:spacing w:line="240" w:lineRule="auto"/>
        <w:rPr/>
      </w:pPr>
      <w:r w:rsidDel="00000000" w:rsidR="00000000" w:rsidRPr="00000000">
        <w:rPr>
          <w:rtl w:val="0"/>
        </w:rPr>
        <w:t xml:space="preserve">Le projet d’exposition </w:t>
      </w:r>
      <w:r w:rsidDel="00000000" w:rsidR="00000000" w:rsidRPr="00000000">
        <w:rPr>
          <w:i w:val="1"/>
          <w:iCs w:val="1"/>
          <w:rtl w:val="0"/>
        </w:rPr>
        <w:t xml:space="preserve">A SVNIR D STARS</w:t>
      </w:r>
      <w:r w:rsidDel="00000000" w:rsidR="00000000" w:rsidRPr="00000000">
        <w:rPr>
          <w:rtl w:val="0"/>
        </w:rPr>
        <w:t xml:space="preserve"> est né d'expériences et d'observations menées dans le Sud tunisien, notamment autour de l'oasis de Nefta et du site de Mos Espa (décor abandonné de la saga </w:t>
      </w:r>
      <w:r w:rsidDel="00000000" w:rsidR="00000000" w:rsidRPr="00000000">
        <w:rPr>
          <w:i w:val="1"/>
          <w:iCs w:val="1"/>
          <w:rtl w:val="0"/>
        </w:rPr>
        <w:t xml:space="preserve">Star Wars</w:t>
      </w:r>
      <w:r w:rsidDel="00000000" w:rsidR="00000000" w:rsidRPr="00000000">
        <w:rPr>
          <w:rtl w:val="0"/>
        </w:rPr>
        <w:t xml:space="preserve">). À la frontière entre le site archéologique et le parc à thème accidentel, ces espaces témoignent d'une forme d'extractivisme culturel : une production internationale y a extrait et exporté les paysages tunisiens en images, remplaçant peu à peu la réalité vécue par ses habitant·e·s au profit de projections exotiques occidentales.</w:t>
      </w:r>
    </w:p>
    <w:p w:rsidR="00000000" w:rsidDel="00000000" w:rsidP="00000000" w:rsidRDefault="00000000" w:rsidRPr="00000000" w14:paraId="00000005">
      <w:pPr>
        <w:widowControl w:val="0"/>
        <w:spacing w:line="240" w:lineRule="auto"/>
        <w:rPr/>
      </w:pPr>
      <w:r w:rsidDel="00000000" w:rsidR="00000000" w:rsidRPr="00000000">
        <w:rPr>
          <w:rtl w:val="0"/>
        </w:rPr>
      </w:r>
    </w:p>
    <w:p w:rsidR="00000000" w:rsidDel="00000000" w:rsidP="00000000" w:rsidRDefault="00000000" w:rsidRPr="00000000" w14:paraId="00000006">
      <w:pPr>
        <w:widowControl w:val="0"/>
        <w:spacing w:after="240" w:line="240" w:lineRule="auto"/>
        <w:rPr/>
      </w:pPr>
      <w:r w:rsidDel="00000000" w:rsidR="00000000" w:rsidRPr="00000000">
        <w:rPr>
          <w:rtl w:val="0"/>
        </w:rPr>
        <w:t xml:space="preserve">Le film </w:t>
      </w:r>
      <w:r w:rsidDel="00000000" w:rsidR="00000000" w:rsidRPr="00000000">
        <w:rPr>
          <w:i w:val="1"/>
          <w:iCs w:val="1"/>
          <w:rtl w:val="0"/>
        </w:rPr>
        <w:t xml:space="preserve">WANDERING STUDIO </w:t>
      </w:r>
      <w:r w:rsidDel="00000000" w:rsidR="00000000" w:rsidRPr="00000000">
        <w:rPr>
          <w:rtl w:val="0"/>
        </w:rPr>
        <w:t xml:space="preserve">assume une forme hybride, une fiction spéculative traversée de fragments documentaires, pensée comme un geste critique. À travers l'itinéraire d'un jeune photographe (Jesser) et de sa sœur (Hanin) déplaçant leur studio ambulant près des sites de tournage, le projet propose un retournement du dispositif : regarder ces espaces depuis celles et ceux qui les habitent, et transformer les touristes en sujets représentés, supports des fantasmes importés.</w:t>
      </w:r>
    </w:p>
    <w:p w:rsidR="00000000" w:rsidDel="00000000" w:rsidP="00000000" w:rsidRDefault="00000000" w:rsidRPr="00000000" w14:paraId="00000007">
      <w:pPr>
        <w:pStyle w:val="Heading3"/>
        <w:keepNext w:val="0"/>
        <w:keepLines w:val="0"/>
        <w:widowControl w:val="0"/>
        <w:spacing w:after="240" w:before="0" w:line="240" w:lineRule="auto"/>
        <w:rPr>
          <w:b w:val="1"/>
          <w:bCs w:val="1"/>
          <w:color w:val="000000"/>
        </w:rPr>
      </w:pPr>
      <w:r w:rsidDel="00000000" w:rsidR="00000000" w:rsidRPr="00000000">
        <w:rPr>
          <w:b w:val="1"/>
          <w:bCs w:val="1"/>
          <w:color w:val="000000"/>
          <w:rtl w:val="0"/>
        </w:rPr>
        <w:t xml:space="preserve">Évolutions récentes et nouveaux développements</w:t>
      </w:r>
    </w:p>
    <w:p w:rsidR="00000000" w:rsidDel="00000000" w:rsidP="00000000" w:rsidRDefault="00000000" w:rsidRPr="00000000" w14:paraId="00000008">
      <w:pPr>
        <w:widowControl w:val="0"/>
        <w:spacing w:line="240" w:lineRule="auto"/>
        <w:rPr/>
      </w:pPr>
      <w:r w:rsidDel="00000000" w:rsidR="00000000" w:rsidRPr="00000000">
        <w:rPr>
          <w:rtl w:val="0"/>
        </w:rPr>
        <w:t xml:space="preserve">Depuis la dernière résidence à La Boîte, le projet est entré dans sa phase de tournage. On est actuellement en postproduction. L'accent est mis sur le développement d'une « science-fiction locale » et bricolée. </w:t>
      </w:r>
    </w:p>
    <w:p w:rsidR="00000000" w:rsidDel="00000000" w:rsidP="00000000" w:rsidRDefault="00000000" w:rsidRPr="00000000" w14:paraId="00000009">
      <w:pPr>
        <w:widowControl w:val="0"/>
        <w:spacing w:line="240" w:lineRule="auto"/>
        <w:rPr/>
      </w:pPr>
      <w:r w:rsidDel="00000000" w:rsidR="00000000" w:rsidRPr="00000000">
        <w:rPr>
          <w:rtl w:val="0"/>
        </w:rPr>
      </w:r>
    </w:p>
    <w:p w:rsidR="00000000" w:rsidDel="00000000" w:rsidP="00000000" w:rsidRDefault="00000000" w:rsidRPr="00000000" w14:paraId="0000000A">
      <w:pPr>
        <w:pStyle w:val="Heading2"/>
        <w:keepNext w:val="0"/>
        <w:keepLines w:val="0"/>
        <w:widowControl w:val="0"/>
        <w:spacing w:after="225" w:before="225" w:line="240" w:lineRule="auto"/>
        <w:rPr>
          <w:b w:val="1"/>
          <w:bCs w:val="1"/>
          <w:sz w:val="36"/>
          <w:szCs w:val="36"/>
        </w:rPr>
      </w:pPr>
      <w:bookmarkStart w:colFirst="0" w:colLast="0" w:name="_w49trp78mxkm" w:id="1"/>
      <w:bookmarkEnd w:id="1"/>
      <w:r w:rsidDel="00000000" w:rsidR="00000000" w:rsidRPr="00000000">
        <w:rPr>
          <w:b w:val="1"/>
          <w:bCs w:val="1"/>
          <w:sz w:val="36"/>
          <w:szCs w:val="36"/>
          <w:rtl w:val="0"/>
        </w:rPr>
        <w:t xml:space="preserve">Orientations pour la communication et la médiation</w:t>
      </w:r>
    </w:p>
    <w:p w:rsidR="00000000" w:rsidDel="00000000" w:rsidP="00000000" w:rsidRDefault="00000000" w:rsidRPr="00000000" w14:paraId="0000000B">
      <w:pPr>
        <w:widowControl w:val="0"/>
        <w:spacing w:line="240" w:lineRule="auto"/>
        <w:rPr/>
      </w:pPr>
      <w:r w:rsidDel="00000000" w:rsidR="00000000" w:rsidRPr="00000000">
        <w:rPr>
          <w:b w:val="1"/>
          <w:bCs w:val="1"/>
          <w:rtl w:val="0"/>
        </w:rPr>
        <w:t xml:space="preserve">Visuels de communication :</w:t>
      </w:r>
      <w:r w:rsidDel="00000000" w:rsidR="00000000" w:rsidRPr="00000000">
        <w:rPr>
          <w:rtl w:val="0"/>
        </w:rPr>
        <w:t xml:space="preserve"> Utilisation des images du tournage pour documenter la transition entre le réel et le décor, notamment pour le panneau extérieur de La Boîte.</w:t>
      </w:r>
    </w:p>
    <w:p w:rsidR="00000000" w:rsidDel="00000000" w:rsidP="00000000" w:rsidRDefault="00000000" w:rsidRPr="00000000" w14:paraId="0000000C">
      <w:pPr>
        <w:widowControl w:val="0"/>
        <w:spacing w:line="240" w:lineRule="auto"/>
        <w:rPr>
          <w:b w:val="1"/>
          <w:bCs w:val="1"/>
        </w:rPr>
      </w:pPr>
      <w:r w:rsidDel="00000000" w:rsidR="00000000" w:rsidRPr="00000000">
        <w:rPr>
          <w:rtl w:val="0"/>
        </w:rPr>
      </w:r>
    </w:p>
    <w:p w:rsidR="00000000" w:rsidDel="00000000" w:rsidP="00000000" w:rsidRDefault="00000000" w:rsidRPr="00000000" w14:paraId="0000000D">
      <w:pPr>
        <w:widowControl w:val="0"/>
        <w:spacing w:line="240" w:lineRule="auto"/>
        <w:rPr/>
      </w:pPr>
      <w:r w:rsidDel="00000000" w:rsidR="00000000" w:rsidRPr="00000000">
        <w:rPr>
          <w:b w:val="1"/>
          <w:bCs w:val="1"/>
          <w:rtl w:val="0"/>
        </w:rPr>
        <w:t xml:space="preserve">Ligne éditoriale :</w:t>
      </w:r>
      <w:r w:rsidDel="00000000" w:rsidR="00000000" w:rsidRPr="00000000">
        <w:rPr>
          <w:rtl w:val="0"/>
        </w:rPr>
        <w:t xml:space="preserve"> Mettre en avant les notions d'</w:t>
      </w:r>
      <w:r w:rsidDel="00000000" w:rsidR="00000000" w:rsidRPr="00000000">
        <w:rPr>
          <w:i w:val="1"/>
          <w:iCs w:val="1"/>
          <w:rtl w:val="0"/>
        </w:rPr>
        <w:t xml:space="preserve">extractivisme</w:t>
      </w:r>
      <w:r w:rsidDel="00000000" w:rsidR="00000000" w:rsidRPr="00000000">
        <w:rPr>
          <w:rtl w:val="0"/>
        </w:rPr>
        <w:t xml:space="preserve"> et de </w:t>
      </w:r>
      <w:r w:rsidDel="00000000" w:rsidR="00000000" w:rsidRPr="00000000">
        <w:rPr>
          <w:i w:val="1"/>
          <w:iCs w:val="1"/>
          <w:rtl w:val="0"/>
        </w:rPr>
        <w:t xml:space="preserve">contre-récit face à l'impensé colonial</w:t>
      </w:r>
      <w:r w:rsidDel="00000000" w:rsidR="00000000" w:rsidRPr="00000000">
        <w:rPr>
          <w:rtl w:val="0"/>
        </w:rPr>
        <w:t xml:space="preserve"> du cinéma de genre occidental, tout en soulignant la poésie de cette science-fiction bricolée localement.</w:t>
      </w:r>
    </w:p>
    <w:p w:rsidR="00000000" w:rsidDel="00000000" w:rsidP="00000000" w:rsidRDefault="00000000" w:rsidRPr="00000000" w14:paraId="0000000E">
      <w:pPr>
        <w:widowControl w:val="0"/>
        <w:spacing w:line="240" w:lineRule="auto"/>
        <w:rPr/>
      </w:pPr>
      <w:r w:rsidDel="00000000" w:rsidR="00000000" w:rsidRPr="00000000">
        <w:rPr>
          <w:rtl w:val="0"/>
        </w:rPr>
      </w:r>
    </w:p>
    <w:p w:rsidR="00000000" w:rsidDel="00000000" w:rsidP="00000000" w:rsidRDefault="00000000" w:rsidRPr="00000000" w14:paraId="0000000F">
      <w:pPr>
        <w:pStyle w:val="Heading2"/>
        <w:keepNext w:val="0"/>
        <w:keepLines w:val="0"/>
        <w:widowControl w:val="0"/>
        <w:spacing w:after="225" w:before="225" w:line="240" w:lineRule="auto"/>
        <w:rPr>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10">
      <w:pPr>
        <w:pStyle w:val="Heading2"/>
        <w:keepNext w:val="0"/>
        <w:keepLines w:val="0"/>
        <w:widowControl w:val="0"/>
        <w:spacing w:after="225" w:before="225" w:line="240" w:lineRule="auto"/>
        <w:rPr>
          <w:b w:val="1"/>
          <w:bCs w:val="1"/>
          <w:sz w:val="36"/>
          <w:szCs w:val="36"/>
        </w:rPr>
      </w:pPr>
      <w:r w:rsidDel="00000000" w:rsidR="00000000" w:rsidRPr="00000000">
        <w:rPr>
          <w:b w:val="1"/>
          <w:bCs w:val="1"/>
          <w:sz w:val="36"/>
          <w:szCs w:val="36"/>
          <w:rtl w:val="0"/>
        </w:rPr>
        <w:t xml:space="preserve">Liste et description des œuvres exposées</w:t>
      </w:r>
    </w:p>
    <w:p w:rsidR="00000000" w:rsidDel="00000000" w:rsidP="00000000" w:rsidRDefault="00000000" w:rsidRPr="00000000" w14:paraId="00000011">
      <w:pPr>
        <w:widowControl w:val="0"/>
        <w:spacing w:line="240" w:lineRule="auto"/>
        <w:rPr/>
      </w:pPr>
      <w:r w:rsidDel="00000000" w:rsidR="00000000" w:rsidRPr="00000000">
        <w:rPr>
          <w:rtl w:val="0"/>
        </w:rPr>
        <w:t xml:space="preserve">L'exposition à La Boîte est conçue comme une extension installative et matérielle du film, matérialisant la narration dans l'espace du lieu à travers une sélection de dispositifs.</w:t>
      </w:r>
    </w:p>
    <w:p w:rsidR="00000000" w:rsidDel="00000000" w:rsidP="00000000" w:rsidRDefault="00000000" w:rsidRPr="00000000" w14:paraId="00000012">
      <w:pPr>
        <w:widowControl w:val="0"/>
        <w:spacing w:line="240" w:lineRule="auto"/>
        <w:rPr/>
      </w:pPr>
      <w:r w:rsidDel="00000000" w:rsidR="00000000" w:rsidRPr="00000000">
        <w:rPr>
          <w:rtl w:val="0"/>
        </w:rPr>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f2f2f2" w:val="clear"/>
            <w:tcMar>
              <w:top w:w="90.0" w:type="dxa"/>
              <w:left w:w="90.0" w:type="dxa"/>
              <w:bottom w:w="90.0" w:type="dxa"/>
              <w:right w:w="90.0" w:type="dxa"/>
            </w:tcMar>
          </w:tcPr>
          <w:p w:rsidR="00000000" w:rsidDel="00000000" w:rsidP="00000000" w:rsidRDefault="00000000" w:rsidRPr="00000000" w14:paraId="00000013">
            <w:pPr>
              <w:widowControl w:val="0"/>
              <w:spacing w:line="240" w:lineRule="auto"/>
              <w:rPr/>
            </w:pPr>
            <w:r w:rsidDel="00000000" w:rsidR="00000000" w:rsidRPr="00000000">
              <w:rPr>
                <w:rtl w:val="0"/>
              </w:rPr>
              <w:t xml:space="preserve">Œuvre / Dispositif</w:t>
            </w:r>
          </w:p>
        </w:tc>
        <w:tc>
          <w:tcPr>
            <w:shd w:fill="f2f2f2" w:val="clear"/>
            <w:tcMar>
              <w:top w:w="90.0" w:type="dxa"/>
              <w:left w:w="90.0" w:type="dxa"/>
              <w:bottom w:w="90.0" w:type="dxa"/>
              <w:right w:w="90.0" w:type="dxa"/>
            </w:tcMar>
          </w:tcPr>
          <w:p w:rsidR="00000000" w:rsidDel="00000000" w:rsidP="00000000" w:rsidRDefault="00000000" w:rsidRPr="00000000" w14:paraId="00000014">
            <w:pPr>
              <w:widowControl w:val="0"/>
              <w:spacing w:line="240" w:lineRule="auto"/>
              <w:rPr/>
            </w:pPr>
            <w:r w:rsidDel="00000000" w:rsidR="00000000" w:rsidRPr="00000000">
              <w:rPr>
                <w:rtl w:val="0"/>
              </w:rPr>
              <w:t xml:space="preserve">Description et intention plastique</w:t>
            </w:r>
          </w:p>
        </w:tc>
        <w:tc>
          <w:tcPr>
            <w:shd w:fill="f2f2f2" w:val="clear"/>
            <w:tcMar>
              <w:top w:w="90.0" w:type="dxa"/>
              <w:left w:w="90.0" w:type="dxa"/>
              <w:bottom w:w="90.0" w:type="dxa"/>
              <w:right w:w="90.0" w:type="dxa"/>
            </w:tcMar>
          </w:tcPr>
          <w:p w:rsidR="00000000" w:rsidDel="00000000" w:rsidP="00000000" w:rsidRDefault="00000000" w:rsidRPr="00000000" w14:paraId="00000015">
            <w:pPr>
              <w:widowControl w:val="0"/>
              <w:spacing w:line="240" w:lineRule="auto"/>
              <w:rPr/>
            </w:pPr>
            <w:r w:rsidDel="00000000" w:rsidR="00000000" w:rsidRPr="00000000">
              <w:rPr>
                <w:rtl w:val="0"/>
              </w:rPr>
              <w:t xml:space="preserve">Composants / Médiums</w:t>
            </w:r>
          </w:p>
          <w:p w:rsidR="00000000" w:rsidDel="00000000" w:rsidP="00000000" w:rsidRDefault="00000000" w:rsidRPr="00000000" w14:paraId="00000016">
            <w:pPr>
              <w:widowControl w:val="0"/>
              <w:spacing w:line="240" w:lineRule="auto"/>
              <w:rPr/>
            </w:pPr>
            <w:r w:rsidDel="00000000" w:rsidR="00000000" w:rsidRPr="00000000">
              <w:rPr>
                <w:rtl w:val="0"/>
              </w:rPr>
              <w:t xml:space="preserve"> </w:t>
            </w:r>
          </w:p>
        </w:tc>
      </w:tr>
      <w:tr>
        <w:trPr>
          <w:cantSplit w:val="0"/>
          <w:tblHeader w:val="0"/>
        </w:trPr>
        <w:tc>
          <w:tcPr>
            <w:tcMar>
              <w:top w:w="90.0" w:type="dxa"/>
              <w:left w:w="90.0" w:type="dxa"/>
              <w:bottom w:w="90.0" w:type="dxa"/>
              <w:right w:w="90.0" w:type="dxa"/>
            </w:tcMar>
          </w:tcPr>
          <w:p w:rsidR="00000000" w:rsidDel="00000000" w:rsidP="00000000" w:rsidRDefault="00000000" w:rsidRPr="00000000" w14:paraId="00000017">
            <w:pPr>
              <w:widowControl w:val="0"/>
              <w:spacing w:line="240" w:lineRule="auto"/>
              <w:rPr>
                <w:b w:val="1"/>
                <w:bCs w:val="1"/>
                <w:i w:val="1"/>
                <w:iCs w:val="1"/>
              </w:rPr>
            </w:pPr>
            <w:r w:rsidDel="00000000" w:rsidR="00000000" w:rsidRPr="00000000">
              <w:rPr>
                <w:b w:val="1"/>
                <w:bCs w:val="1"/>
                <w:rtl w:val="0"/>
              </w:rPr>
              <w:t xml:space="preserve">1. Le film : </w:t>
            </w:r>
            <w:r w:rsidDel="00000000" w:rsidR="00000000" w:rsidRPr="00000000">
              <w:rPr>
                <w:b w:val="1"/>
                <w:bCs w:val="1"/>
                <w:i w:val="1"/>
                <w:iCs w:val="1"/>
                <w:rtl w:val="0"/>
              </w:rPr>
              <w:t xml:space="preserve">Wandering Studio</w:t>
            </w:r>
          </w:p>
        </w:tc>
        <w:tc>
          <w:tcPr>
            <w:tcMar>
              <w:top w:w="90.0" w:type="dxa"/>
              <w:left w:w="90.0" w:type="dxa"/>
              <w:bottom w:w="90.0" w:type="dxa"/>
              <w:right w:w="90.0" w:type="dxa"/>
            </w:tcMar>
          </w:tcPr>
          <w:p w:rsidR="00000000" w:rsidDel="00000000" w:rsidP="00000000" w:rsidRDefault="00000000" w:rsidRPr="00000000" w14:paraId="00000018">
            <w:pPr>
              <w:widowControl w:val="0"/>
              <w:spacing w:line="240" w:lineRule="auto"/>
              <w:rPr/>
            </w:pPr>
            <w:r w:rsidDel="00000000" w:rsidR="00000000" w:rsidRPr="00000000">
              <w:rPr>
                <w:rtl w:val="0"/>
              </w:rPr>
              <w:t xml:space="preserve">Le cœur de l'installation. Un court métrage de 20 minutes de science-fiction critique et documentaire expérimental retraçant le parcours de Hanin et Jesser. Projection adaptée à l'espace de La Boîte.</w:t>
            </w:r>
          </w:p>
        </w:tc>
        <w:tc>
          <w:tcPr>
            <w:tcMar>
              <w:top w:w="90.0" w:type="dxa"/>
              <w:left w:w="90.0" w:type="dxa"/>
              <w:bottom w:w="90.0" w:type="dxa"/>
              <w:right w:w="90.0" w:type="dxa"/>
            </w:tcMar>
          </w:tcPr>
          <w:p w:rsidR="00000000" w:rsidDel="00000000" w:rsidP="00000000" w:rsidRDefault="00000000" w:rsidRPr="00000000" w14:paraId="00000019">
            <w:pPr>
              <w:widowControl w:val="0"/>
              <w:spacing w:line="240" w:lineRule="auto"/>
              <w:rPr/>
            </w:pPr>
            <w:r w:rsidDel="00000000" w:rsidR="00000000" w:rsidRPr="00000000">
              <w:rPr>
                <w:rtl w:val="0"/>
              </w:rPr>
              <w:t xml:space="preserve">Vidéo, couleur, enceintes, stéréo, cimaise</w:t>
            </w:r>
          </w:p>
        </w:tc>
      </w:tr>
      <w:tr>
        <w:trPr>
          <w:cantSplit w:val="0"/>
          <w:tblHeader w:val="0"/>
        </w:trPr>
        <w:tc>
          <w:tcPr>
            <w:tcMar>
              <w:top w:w="90.0" w:type="dxa"/>
              <w:left w:w="90.0" w:type="dxa"/>
              <w:bottom w:w="90.0" w:type="dxa"/>
              <w:right w:w="90.0" w:type="dxa"/>
            </w:tcMar>
          </w:tcPr>
          <w:p w:rsidR="00000000" w:rsidDel="00000000" w:rsidP="00000000" w:rsidRDefault="00000000" w:rsidRPr="00000000" w14:paraId="0000001A">
            <w:pPr>
              <w:widowControl w:val="0"/>
              <w:spacing w:line="240" w:lineRule="auto"/>
              <w:rPr>
                <w:b w:val="1"/>
                <w:bCs w:val="1"/>
              </w:rPr>
            </w:pPr>
            <w:r w:rsidDel="00000000" w:rsidR="00000000" w:rsidRPr="00000000">
              <w:rPr>
                <w:b w:val="1"/>
                <w:bCs w:val="1"/>
                <w:rtl w:val="0"/>
              </w:rPr>
              <w:t xml:space="preserve">2. Affiche</w:t>
            </w:r>
          </w:p>
        </w:tc>
        <w:tc>
          <w:tcPr>
            <w:tcMar>
              <w:top w:w="90.0" w:type="dxa"/>
              <w:left w:w="90.0" w:type="dxa"/>
              <w:bottom w:w="90.0" w:type="dxa"/>
              <w:right w:w="90.0" w:type="dxa"/>
            </w:tcMar>
          </w:tcPr>
          <w:p w:rsidR="00000000" w:rsidDel="00000000" w:rsidP="00000000" w:rsidRDefault="00000000" w:rsidRPr="00000000" w14:paraId="0000001B">
            <w:pPr>
              <w:widowControl w:val="0"/>
              <w:spacing w:line="240" w:lineRule="auto"/>
              <w:rPr/>
            </w:pPr>
            <w:r w:rsidDel="00000000" w:rsidR="00000000" w:rsidRPr="00000000">
              <w:rPr>
                <w:rtl w:val="0"/>
              </w:rPr>
              <w:t xml:space="preserve">Peinture originale de l’affiche du film</w:t>
            </w:r>
          </w:p>
        </w:tc>
        <w:tc>
          <w:tcPr>
            <w:tcMar>
              <w:top w:w="90.0" w:type="dxa"/>
              <w:left w:w="90.0" w:type="dxa"/>
              <w:bottom w:w="90.0" w:type="dxa"/>
              <w:right w:w="90.0" w:type="dxa"/>
            </w:tcMar>
          </w:tcPr>
          <w:p w:rsidR="00000000" w:rsidDel="00000000" w:rsidP="00000000" w:rsidRDefault="00000000" w:rsidRPr="00000000" w14:paraId="0000001C">
            <w:pPr>
              <w:widowControl w:val="0"/>
              <w:spacing w:line="240" w:lineRule="auto"/>
              <w:rPr/>
            </w:pPr>
            <w:r w:rsidDel="00000000" w:rsidR="00000000" w:rsidRPr="00000000">
              <w:rPr>
                <w:rtl w:val="0"/>
              </w:rPr>
              <w:t xml:space="preserve">Affiche, support, éclairage </w:t>
            </w:r>
          </w:p>
        </w:tc>
      </w:tr>
      <w:tr>
        <w:trPr>
          <w:cantSplit w:val="0"/>
          <w:tblHeader w:val="0"/>
        </w:trPr>
        <w:tc>
          <w:tcPr>
            <w:tcMar>
              <w:top w:w="90.0" w:type="dxa"/>
              <w:left w:w="90.0" w:type="dxa"/>
              <w:bottom w:w="90.0" w:type="dxa"/>
              <w:right w:w="90.0" w:type="dxa"/>
            </w:tcMar>
          </w:tcPr>
          <w:p w:rsidR="00000000" w:rsidDel="00000000" w:rsidP="00000000" w:rsidRDefault="00000000" w:rsidRPr="00000000" w14:paraId="0000001D">
            <w:pPr>
              <w:widowControl w:val="0"/>
              <w:spacing w:line="240" w:lineRule="auto"/>
              <w:rPr>
                <w:b w:val="1"/>
                <w:bCs w:val="1"/>
              </w:rPr>
            </w:pPr>
            <w:r w:rsidDel="00000000" w:rsidR="00000000" w:rsidRPr="00000000">
              <w:rPr>
                <w:b w:val="1"/>
                <w:bCs w:val="1"/>
                <w:rtl w:val="0"/>
              </w:rPr>
              <w:t xml:space="preserve">3. Le Journal / Publication</w:t>
            </w:r>
          </w:p>
        </w:tc>
        <w:tc>
          <w:tcPr>
            <w:tcMar>
              <w:top w:w="90.0" w:type="dxa"/>
              <w:left w:w="90.0" w:type="dxa"/>
              <w:bottom w:w="90.0" w:type="dxa"/>
              <w:right w:w="90.0" w:type="dxa"/>
            </w:tcMar>
          </w:tcPr>
          <w:p w:rsidR="00000000" w:rsidDel="00000000" w:rsidP="00000000" w:rsidRDefault="00000000" w:rsidRPr="00000000" w14:paraId="0000001E">
            <w:pPr>
              <w:widowControl w:val="0"/>
              <w:spacing w:line="240" w:lineRule="auto"/>
              <w:rPr/>
            </w:pPr>
            <w:r w:rsidDel="00000000" w:rsidR="00000000" w:rsidRPr="00000000">
              <w:rPr>
                <w:rtl w:val="0"/>
              </w:rPr>
              <w:t xml:space="preserve">Pile de journal, en guise de support éditorial conçu comme un autre espace critique.</w:t>
            </w:r>
          </w:p>
        </w:tc>
        <w:tc>
          <w:tcPr>
            <w:tcMar>
              <w:top w:w="90.0" w:type="dxa"/>
              <w:left w:w="90.0" w:type="dxa"/>
              <w:bottom w:w="90.0" w:type="dxa"/>
              <w:right w:w="90.0" w:type="dxa"/>
            </w:tcMar>
          </w:tcPr>
          <w:p w:rsidR="00000000" w:rsidDel="00000000" w:rsidP="00000000" w:rsidRDefault="00000000" w:rsidRPr="00000000" w14:paraId="0000001F">
            <w:pPr>
              <w:widowControl w:val="0"/>
              <w:spacing w:line="240" w:lineRule="auto"/>
              <w:rPr/>
            </w:pPr>
            <w:r w:rsidDel="00000000" w:rsidR="00000000" w:rsidRPr="00000000">
              <w:rPr>
                <w:rtl w:val="0"/>
              </w:rPr>
              <w:t xml:space="preserve">Support papier, textes critiques, édition limitée, éclairage</w:t>
            </w:r>
          </w:p>
        </w:tc>
      </w:tr>
      <w:tr>
        <w:trPr>
          <w:cantSplit w:val="0"/>
          <w:tblHeader w:val="0"/>
        </w:trPr>
        <w:tc>
          <w:tcPr>
            <w:tcMar>
              <w:top w:w="90.0" w:type="dxa"/>
              <w:left w:w="90.0" w:type="dxa"/>
              <w:bottom w:w="90.0" w:type="dxa"/>
              <w:right w:w="90.0" w:type="dxa"/>
            </w:tcMar>
          </w:tcPr>
          <w:p w:rsidR="00000000" w:rsidDel="00000000" w:rsidP="00000000" w:rsidRDefault="00000000" w:rsidRPr="00000000" w14:paraId="00000020">
            <w:pPr>
              <w:widowControl w:val="0"/>
              <w:spacing w:line="240" w:lineRule="auto"/>
              <w:rPr>
                <w:b w:val="1"/>
                <w:bCs w:val="1"/>
              </w:rPr>
            </w:pPr>
            <w:r w:rsidDel="00000000" w:rsidR="00000000" w:rsidRPr="00000000">
              <w:rPr>
                <w:b w:val="1"/>
                <w:bCs w:val="1"/>
                <w:rtl w:val="0"/>
              </w:rPr>
              <w:t xml:space="preserve">4. Le Costume de Chewbacca Blanc</w:t>
            </w:r>
          </w:p>
        </w:tc>
        <w:tc>
          <w:tcPr>
            <w:tcMar>
              <w:top w:w="90.0" w:type="dxa"/>
              <w:left w:w="90.0" w:type="dxa"/>
              <w:bottom w:w="90.0" w:type="dxa"/>
              <w:right w:w="90.0" w:type="dxa"/>
            </w:tcMar>
          </w:tcPr>
          <w:p w:rsidR="00000000" w:rsidDel="00000000" w:rsidP="00000000" w:rsidRDefault="00000000" w:rsidRPr="00000000" w14:paraId="00000021">
            <w:pPr>
              <w:widowControl w:val="0"/>
              <w:spacing w:line="240" w:lineRule="auto"/>
              <w:rPr/>
            </w:pPr>
            <w:r w:rsidDel="00000000" w:rsidR="00000000" w:rsidRPr="00000000">
              <w:rPr>
                <w:rtl w:val="0"/>
              </w:rPr>
              <w:t xml:space="preserve">Inspiré du personnage de la saga trouvé sur les étals de fortune à Mos Espa. Réinterprété ici à travers un costume en peau de mouton/bête blanche, il interroge le rôle du figurant et le déguisement du touriste.</w:t>
            </w:r>
          </w:p>
        </w:tc>
        <w:tc>
          <w:tcPr>
            <w:tcMar>
              <w:top w:w="90.0" w:type="dxa"/>
              <w:left w:w="90.0" w:type="dxa"/>
              <w:bottom w:w="90.0" w:type="dxa"/>
              <w:right w:w="90.0" w:type="dxa"/>
            </w:tcMar>
          </w:tcPr>
          <w:p w:rsidR="00000000" w:rsidDel="00000000" w:rsidP="00000000" w:rsidRDefault="00000000" w:rsidRPr="00000000" w14:paraId="00000022">
            <w:pPr>
              <w:widowControl w:val="0"/>
              <w:spacing w:line="240" w:lineRule="auto"/>
              <w:rPr/>
            </w:pPr>
            <w:r w:rsidDel="00000000" w:rsidR="00000000" w:rsidRPr="00000000">
              <w:rPr>
                <w:rtl w:val="0"/>
              </w:rPr>
              <w:t xml:space="preserve">Textile, peaux de bêtes, éclairage, création en collaboration avec Hinda Moussa.</w:t>
            </w:r>
          </w:p>
        </w:tc>
      </w:tr>
      <w:tr>
        <w:trPr>
          <w:cantSplit w:val="0"/>
          <w:tblHeader w:val="0"/>
        </w:trPr>
        <w:tc>
          <w:tcPr>
            <w:tcMar>
              <w:top w:w="90.0" w:type="dxa"/>
              <w:left w:w="90.0" w:type="dxa"/>
              <w:bottom w:w="90.0" w:type="dxa"/>
              <w:right w:w="90.0" w:type="dxa"/>
            </w:tcMar>
          </w:tcPr>
          <w:p w:rsidR="00000000" w:rsidDel="00000000" w:rsidP="00000000" w:rsidRDefault="00000000" w:rsidRPr="00000000" w14:paraId="00000023">
            <w:pPr>
              <w:widowControl w:val="0"/>
              <w:spacing w:line="240" w:lineRule="auto"/>
              <w:rPr>
                <w:b w:val="1"/>
                <w:bCs w:val="1"/>
              </w:rPr>
            </w:pPr>
            <w:r w:rsidDel="00000000" w:rsidR="00000000" w:rsidRPr="00000000">
              <w:rPr>
                <w:b w:val="1"/>
                <w:bCs w:val="1"/>
                <w:rtl w:val="0"/>
              </w:rPr>
              <w:t xml:space="preserve">5. Les Props (Accessoires et Objets)</w:t>
            </w:r>
          </w:p>
        </w:tc>
        <w:tc>
          <w:tcPr>
            <w:tcMar>
              <w:top w:w="90.0" w:type="dxa"/>
              <w:left w:w="90.0" w:type="dxa"/>
              <w:bottom w:w="90.0" w:type="dxa"/>
              <w:right w:w="90.0" w:type="dxa"/>
            </w:tcMar>
          </w:tcPr>
          <w:p w:rsidR="00000000" w:rsidDel="00000000" w:rsidP="00000000" w:rsidRDefault="00000000" w:rsidRPr="00000000" w14:paraId="00000024">
            <w:pPr>
              <w:widowControl w:val="0"/>
              <w:spacing w:line="240" w:lineRule="auto"/>
              <w:rPr/>
            </w:pPr>
            <w:r w:rsidDel="00000000" w:rsidR="00000000" w:rsidRPr="00000000">
              <w:rPr>
                <w:rtl w:val="0"/>
              </w:rPr>
              <w:t xml:space="preserve">Objets et fragments issus du tournage, simulant une archéologie du présent. Ils évoquent le rôle de Kamel, "receleur d'éléments de décor" ou récupérateur galactique, transformant le rebut de cinéma en artefact.</w:t>
            </w:r>
          </w:p>
        </w:tc>
        <w:tc>
          <w:tcPr>
            <w:tcMar>
              <w:top w:w="90.0" w:type="dxa"/>
              <w:left w:w="90.0" w:type="dxa"/>
              <w:bottom w:w="90.0" w:type="dxa"/>
              <w:right w:w="90.0" w:type="dxa"/>
            </w:tcMar>
          </w:tcPr>
          <w:p w:rsidR="00000000" w:rsidDel="00000000" w:rsidP="00000000" w:rsidRDefault="00000000" w:rsidRPr="00000000" w14:paraId="00000025">
            <w:pPr>
              <w:widowControl w:val="0"/>
              <w:spacing w:line="240" w:lineRule="auto"/>
              <w:rPr/>
            </w:pPr>
            <w:r w:rsidDel="00000000" w:rsidR="00000000" w:rsidRPr="00000000">
              <w:rPr>
                <w:rtl w:val="0"/>
              </w:rPr>
              <w:t xml:space="preserve">Matériaux composites, tubes PVC (instruments à vent imaginaires), fragments de structures, costumes, studio, éclairage.</w:t>
            </w:r>
          </w:p>
        </w:tc>
      </w:tr>
      <w:tr>
        <w:trPr>
          <w:cantSplit w:val="0"/>
          <w:tblHeader w:val="0"/>
        </w:trPr>
        <w:tc>
          <w:tcPr>
            <w:tcMar>
              <w:top w:w="90.0" w:type="dxa"/>
              <w:left w:w="90.0" w:type="dxa"/>
              <w:bottom w:w="90.0" w:type="dxa"/>
              <w:right w:w="90.0" w:type="dxa"/>
            </w:tcMar>
          </w:tcPr>
          <w:p w:rsidR="00000000" w:rsidDel="00000000" w:rsidP="00000000" w:rsidRDefault="00000000" w:rsidRPr="00000000" w14:paraId="00000026">
            <w:pPr>
              <w:widowControl w:val="0"/>
              <w:spacing w:line="240" w:lineRule="auto"/>
              <w:rPr>
                <w:b w:val="1"/>
                <w:bCs w:val="1"/>
              </w:rPr>
            </w:pPr>
            <w:r w:rsidDel="00000000" w:rsidR="00000000" w:rsidRPr="00000000">
              <w:rPr>
                <w:b w:val="1"/>
                <w:bCs w:val="1"/>
                <w:rtl w:val="0"/>
              </w:rPr>
              <w:t xml:space="preserve">6. La Moto Volante (Speeder-Bike)</w:t>
            </w:r>
          </w:p>
        </w:tc>
        <w:tc>
          <w:tcPr>
            <w:tcMar>
              <w:top w:w="90.0" w:type="dxa"/>
              <w:left w:w="90.0" w:type="dxa"/>
              <w:bottom w:w="90.0" w:type="dxa"/>
              <w:right w:w="90.0" w:type="dxa"/>
            </w:tcMar>
          </w:tcPr>
          <w:p w:rsidR="00000000" w:rsidDel="00000000" w:rsidP="00000000" w:rsidRDefault="00000000" w:rsidRPr="00000000" w14:paraId="00000027">
            <w:pPr>
              <w:widowControl w:val="0"/>
              <w:spacing w:line="240" w:lineRule="auto"/>
              <w:rPr/>
            </w:pPr>
            <w:r w:rsidDel="00000000" w:rsidR="00000000" w:rsidRPr="00000000">
              <w:rPr>
                <w:rtl w:val="0"/>
              </w:rPr>
              <w:t xml:space="preserve">Élément central de la science-fiction bricolée du film. Une moto "tunée" projetant une lumière au sol, recouverte d'étoffes légères.</w:t>
            </w:r>
          </w:p>
        </w:tc>
        <w:tc>
          <w:tcPr>
            <w:tcMar>
              <w:top w:w="90.0" w:type="dxa"/>
              <w:left w:w="90.0" w:type="dxa"/>
              <w:bottom w:w="90.0" w:type="dxa"/>
              <w:right w:w="90.0" w:type="dxa"/>
            </w:tcMar>
          </w:tcPr>
          <w:p w:rsidR="00000000" w:rsidDel="00000000" w:rsidP="00000000" w:rsidRDefault="00000000" w:rsidRPr="00000000" w14:paraId="00000028">
            <w:pPr>
              <w:widowControl w:val="0"/>
              <w:spacing w:line="240" w:lineRule="auto"/>
              <w:rPr/>
            </w:pPr>
            <w:r w:rsidDel="00000000" w:rsidR="00000000" w:rsidRPr="00000000">
              <w:rPr>
                <w:rtl w:val="0"/>
              </w:rPr>
              <w:t xml:space="preserve">Structure en acier, assise moto, LED,éclairage</w:t>
            </w:r>
          </w:p>
        </w:tc>
      </w:tr>
      <w:tr>
        <w:trPr>
          <w:cantSplit w:val="0"/>
          <w:tblHeader w:val="0"/>
        </w:trPr>
        <w:tc>
          <w:tcPr>
            <w:tcMar>
              <w:top w:w="90.0" w:type="dxa"/>
              <w:left w:w="90.0" w:type="dxa"/>
              <w:bottom w:w="90.0" w:type="dxa"/>
              <w:right w:w="90.0" w:type="dxa"/>
            </w:tcMar>
          </w:tcPr>
          <w:p w:rsidR="00000000" w:rsidDel="00000000" w:rsidP="00000000" w:rsidRDefault="00000000" w:rsidRPr="00000000" w14:paraId="00000029">
            <w:pPr>
              <w:widowControl w:val="0"/>
              <w:spacing w:line="240" w:lineRule="auto"/>
              <w:rPr>
                <w:b w:val="1"/>
                <w:bCs w:val="1"/>
              </w:rPr>
            </w:pPr>
            <w:r w:rsidDel="00000000" w:rsidR="00000000" w:rsidRPr="00000000">
              <w:rPr>
                <w:b w:val="1"/>
                <w:bCs w:val="1"/>
                <w:rtl w:val="0"/>
              </w:rPr>
              <w:t xml:space="preserve">7. Photo</w:t>
            </w:r>
          </w:p>
        </w:tc>
        <w:tc>
          <w:tcPr>
            <w:tcMar>
              <w:top w:w="90.0" w:type="dxa"/>
              <w:left w:w="90.0" w:type="dxa"/>
              <w:bottom w:w="90.0" w:type="dxa"/>
              <w:right w:w="90.0" w:type="dxa"/>
            </w:tcMar>
          </w:tcPr>
          <w:p w:rsidR="00000000" w:rsidDel="00000000" w:rsidP="00000000" w:rsidRDefault="00000000" w:rsidRPr="00000000" w14:paraId="0000002A">
            <w:pPr>
              <w:widowControl w:val="0"/>
              <w:spacing w:line="240" w:lineRule="auto"/>
              <w:rPr/>
            </w:pPr>
            <w:r w:rsidDel="00000000" w:rsidR="00000000" w:rsidRPr="00000000">
              <w:rPr>
                <w:rtl w:val="0"/>
              </w:rPr>
              <w:t xml:space="preserve">Une ou plusieurs photos du tournage (à l’étage si espace disponible)</w:t>
            </w:r>
          </w:p>
        </w:tc>
        <w:tc>
          <w:tcPr>
            <w:tcMar>
              <w:top w:w="90.0" w:type="dxa"/>
              <w:left w:w="90.0" w:type="dxa"/>
              <w:bottom w:w="90.0" w:type="dxa"/>
              <w:right w:w="90.0" w:type="dxa"/>
            </w:tcMar>
          </w:tcPr>
          <w:p w:rsidR="00000000" w:rsidDel="00000000" w:rsidP="00000000" w:rsidRDefault="00000000" w:rsidRPr="00000000" w14:paraId="0000002B">
            <w:pPr>
              <w:widowControl w:val="0"/>
              <w:spacing w:line="240" w:lineRule="auto"/>
              <w:rPr/>
            </w:pPr>
            <w:r w:rsidDel="00000000" w:rsidR="00000000" w:rsidRPr="00000000">
              <w:rPr>
                <w:rtl w:val="0"/>
              </w:rPr>
              <w:t xml:space="preserve">Tissus suspendus, structure autoportante, dispositif photographique, éclairage</w:t>
            </w:r>
          </w:p>
        </w:tc>
      </w:tr>
    </w:tbl>
    <w:p w:rsidR="00000000" w:rsidDel="00000000" w:rsidP="00000000" w:rsidRDefault="00000000" w:rsidRPr="00000000" w14:paraId="0000002C">
      <w:pPr>
        <w:widowControl w:val="0"/>
        <w:spacing w:line="240" w:lineRule="auto"/>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sectPr>
      <w:headerReference r:id="rId6" w:type="default"/>
      <w:footerReference r:id="rId7" w:type="default"/>
      <w:type w:val="nextPage"/>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widowControl w:val="0"/>
      <w:spacing w:line="240" w:lineRule="auto"/>
      <w:rPr/>
    </w:pPr>
    <w:r w:rsidDel="00000000" w:rsidR="00000000" w:rsidRPr="00000000">
      <w:rPr>
        <w:rtl w:val="0"/>
      </w:rPr>
      <w:t xml:space="preserve">Document de travail pour la communication</w:t>
      <w:tab/>
      <w:t xml:space="preserve">       Fredj Moussa &amp; Corentin Laplanche Tsutsui</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rPr/>
    </w:pPr>
    <w:r w:rsidDel="00000000" w:rsidR="00000000" w:rsidRPr="00000000">
      <w:rPr>
        <w:rtl w:val="0"/>
      </w:rPr>
      <w:t xml:space="preserve">EXPOSITION </w:t>
    </w:r>
    <w:r w:rsidDel="00000000" w:rsidR="00000000" w:rsidRPr="00000000">
      <w:rPr>
        <w:i w:val="1"/>
        <w:iCs w:val="1"/>
        <w:rtl w:val="0"/>
      </w:rPr>
      <w:t xml:space="preserve">A SVNIR D STARS </w:t>
    </w:r>
    <w:r w:rsidDel="00000000" w:rsidR="00000000" w:rsidRPr="00000000">
      <w:rPr>
        <w:rtl w:val="0"/>
      </w:rPr>
      <w:tab/>
      <w:tab/>
      <w:tab/>
      <w:tab/>
      <w:tab/>
      <w:tab/>
      <w:t xml:space="preserve">    LA BOÎTE 2026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